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A7" w:rsidRDefault="00384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42A7" w:rsidRDefault="003842A7">
      <w:pPr>
        <w:pStyle w:val="ConsPlusTitle"/>
        <w:jc w:val="center"/>
      </w:pPr>
    </w:p>
    <w:p w:rsidR="003842A7" w:rsidRDefault="003842A7">
      <w:pPr>
        <w:pStyle w:val="ConsPlusTitle"/>
        <w:jc w:val="center"/>
      </w:pPr>
      <w:r>
        <w:t>РАСПОРЯЖЕНИЕ</w:t>
      </w:r>
    </w:p>
    <w:p w:rsidR="003842A7" w:rsidRDefault="003842A7">
      <w:pPr>
        <w:pStyle w:val="ConsPlusTitle"/>
        <w:jc w:val="center"/>
      </w:pPr>
      <w:r>
        <w:t>от 29 ноября 2014 г. N 2403-р</w:t>
      </w:r>
    </w:p>
    <w:p w:rsidR="003842A7" w:rsidRDefault="003842A7">
      <w:pPr>
        <w:pStyle w:val="ConsPlusNormal"/>
        <w:ind w:firstLine="540"/>
        <w:jc w:val="both"/>
      </w:pPr>
    </w:p>
    <w:p w:rsidR="003842A7" w:rsidRDefault="003842A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2. Минобрнауки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</w:t>
      </w:r>
      <w:hyperlink w:anchor="P28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3. Минобрнауки России совместно с заинтересованными федеральными органами исполнительной власти обеспечить реализацию </w:t>
      </w:r>
      <w:hyperlink w:anchor="P28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</w:t>
      </w:r>
      <w:hyperlink w:anchor="P28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3842A7" w:rsidRDefault="003842A7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декабря 2006 г. N 1760-р (Собрание законодательства Российской Федерации, 2006, N 52, ст. 5622);</w:t>
      </w:r>
    </w:p>
    <w:p w:rsidR="003842A7" w:rsidRDefault="003842A7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марта 2008 г. N 301-р (Собрание законодательства Российской Федерации, 2008, N 11, ст. 1059);</w:t>
      </w:r>
    </w:p>
    <w:p w:rsidR="003842A7" w:rsidRDefault="003842A7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февраля 2009 г. N 251-р (Собрание законодательства Российской Федерации, 2009, N 10, ст. 1257);</w:t>
      </w:r>
    </w:p>
    <w:p w:rsidR="003842A7" w:rsidRDefault="003842A7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июля 2009 г. N 997-р (Собрание законодательства Российской Федерации, 2009, N 29, ст. 3730).</w:t>
      </w:r>
    </w:p>
    <w:p w:rsidR="003842A7" w:rsidRDefault="003842A7">
      <w:pPr>
        <w:pStyle w:val="ConsPlusNormal"/>
        <w:ind w:firstLine="540"/>
        <w:jc w:val="both"/>
      </w:pPr>
    </w:p>
    <w:p w:rsidR="003842A7" w:rsidRDefault="003842A7">
      <w:pPr>
        <w:pStyle w:val="ConsPlusNormal"/>
        <w:jc w:val="right"/>
      </w:pPr>
      <w:r>
        <w:t>Председатель Правительства</w:t>
      </w:r>
    </w:p>
    <w:p w:rsidR="003842A7" w:rsidRDefault="003842A7">
      <w:pPr>
        <w:pStyle w:val="ConsPlusNormal"/>
        <w:jc w:val="right"/>
      </w:pPr>
      <w:r>
        <w:t>Российской Федерации</w:t>
      </w:r>
    </w:p>
    <w:p w:rsidR="003842A7" w:rsidRDefault="003842A7">
      <w:pPr>
        <w:pStyle w:val="ConsPlusNormal"/>
        <w:jc w:val="right"/>
      </w:pPr>
      <w:r>
        <w:t>Д.МЕДВЕДЕВ</w:t>
      </w:r>
    </w:p>
    <w:p w:rsidR="003842A7" w:rsidRDefault="003842A7">
      <w:pPr>
        <w:pStyle w:val="ConsPlusNormal"/>
        <w:jc w:val="right"/>
      </w:pPr>
    </w:p>
    <w:p w:rsidR="003842A7" w:rsidRDefault="003842A7">
      <w:pPr>
        <w:pStyle w:val="ConsPlusNormal"/>
        <w:jc w:val="right"/>
      </w:pPr>
    </w:p>
    <w:p w:rsidR="003842A7" w:rsidRDefault="003842A7">
      <w:pPr>
        <w:pStyle w:val="ConsPlusNormal"/>
        <w:jc w:val="right"/>
      </w:pPr>
    </w:p>
    <w:p w:rsidR="003842A7" w:rsidRDefault="003842A7">
      <w:pPr>
        <w:pStyle w:val="ConsPlusNormal"/>
        <w:jc w:val="right"/>
      </w:pPr>
    </w:p>
    <w:p w:rsidR="003842A7" w:rsidRDefault="003842A7">
      <w:pPr>
        <w:pStyle w:val="ConsPlusNormal"/>
        <w:jc w:val="right"/>
      </w:pPr>
    </w:p>
    <w:p w:rsidR="003842A7" w:rsidRDefault="003842A7">
      <w:pPr>
        <w:pStyle w:val="ConsPlusNormal"/>
        <w:jc w:val="right"/>
        <w:outlineLvl w:val="0"/>
      </w:pPr>
      <w:r>
        <w:t>Утверждены</w:t>
      </w:r>
    </w:p>
    <w:p w:rsidR="003842A7" w:rsidRDefault="003842A7">
      <w:pPr>
        <w:pStyle w:val="ConsPlusNormal"/>
        <w:jc w:val="right"/>
      </w:pPr>
      <w:r>
        <w:t>распоряжением Правительства</w:t>
      </w:r>
    </w:p>
    <w:p w:rsidR="003842A7" w:rsidRDefault="003842A7">
      <w:pPr>
        <w:pStyle w:val="ConsPlusNormal"/>
        <w:jc w:val="right"/>
      </w:pPr>
      <w:r>
        <w:t>Российской Федерации</w:t>
      </w:r>
    </w:p>
    <w:p w:rsidR="003842A7" w:rsidRDefault="003842A7">
      <w:pPr>
        <w:pStyle w:val="ConsPlusNormal"/>
        <w:jc w:val="right"/>
      </w:pPr>
      <w:r>
        <w:t>от 29 ноября 2014 г. N 2403-р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Title"/>
        <w:jc w:val="center"/>
      </w:pPr>
      <w:bookmarkStart w:id="0" w:name="P28"/>
      <w:bookmarkEnd w:id="0"/>
      <w:r>
        <w:t>ОСНОВЫ</w:t>
      </w:r>
    </w:p>
    <w:p w:rsidR="003842A7" w:rsidRDefault="003842A7">
      <w:pPr>
        <w:pStyle w:val="ConsPlusTitle"/>
        <w:jc w:val="center"/>
      </w:pPr>
      <w:r>
        <w:t>ГОСУДАРСТВЕННОЙ МОЛОДЕЖНОЙ ПОЛИТИКИ РОССИЙСКОЙ ФЕДЕРАЦИИ</w:t>
      </w:r>
    </w:p>
    <w:p w:rsidR="003842A7" w:rsidRDefault="003842A7">
      <w:pPr>
        <w:pStyle w:val="ConsPlusTitle"/>
        <w:jc w:val="center"/>
      </w:pPr>
      <w:r>
        <w:lastRenderedPageBreak/>
        <w:t>НА ПЕРИОД ДО 2025 ГОДА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jc w:val="center"/>
        <w:outlineLvl w:val="1"/>
      </w:pPr>
      <w:r>
        <w:t>I. Общие положения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ind w:firstLine="540"/>
        <w:jc w:val="both"/>
      </w:pPr>
      <w:r>
        <w:t xml:space="preserve">1. Настоящий документ определяет систему принципов, приоритетных задач и механизмов, обеспечивающих реализацию </w:t>
      </w:r>
      <w:hyperlink r:id="rId8" w:history="1">
        <w:r>
          <w:rPr>
            <w:color w:val="0000FF"/>
          </w:rPr>
          <w:t>государственной молодежной политики</w:t>
        </w:r>
      </w:hyperlink>
      <w:r>
        <w:t>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2. Используемые в настоящем документе термины означают следующее: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</w:t>
      </w:r>
      <w:r>
        <w:lastRenderedPageBreak/>
        <w:t>(для участников жилищных программ поддержки молодых семей возраст участников увеличивается до 35 лет);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3. Настоящий документ разработан на основе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 2014 году в Российской Федерации проживают 33,22 миллиона граждан в возрасте от 14 до 30 лет.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 Интересы и потребности молодежи учитываются при реализации программ социально-экономического развития.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</w:t>
      </w:r>
      <w:r>
        <w:lastRenderedPageBreak/>
        <w:t>образа жизни, снизился уровень молодежной безработицы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</w:t>
      </w:r>
      <w:r>
        <w:lastRenderedPageBreak/>
        <w:t>прилагающих усилия для динамичного развития сильной и независимой Российской Федерации.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3842A7" w:rsidRDefault="003842A7">
      <w:pPr>
        <w:pStyle w:val="ConsPlusNormal"/>
        <w:ind w:firstLine="540"/>
        <w:jc w:val="both"/>
      </w:pPr>
    </w:p>
    <w:p w:rsidR="003842A7" w:rsidRDefault="003842A7">
      <w:pPr>
        <w:pStyle w:val="ConsPlusNormal"/>
        <w:jc w:val="center"/>
        <w:outlineLvl w:val="1"/>
      </w:pPr>
      <w:r>
        <w:t>II. Основные принципы реализации государственной</w:t>
      </w:r>
    </w:p>
    <w:p w:rsidR="003842A7" w:rsidRDefault="003842A7">
      <w:pPr>
        <w:pStyle w:val="ConsPlusNormal"/>
        <w:jc w:val="center"/>
      </w:pPr>
      <w:r>
        <w:t>молодежной политики</w:t>
      </w:r>
    </w:p>
    <w:p w:rsidR="003842A7" w:rsidRDefault="003842A7">
      <w:pPr>
        <w:pStyle w:val="ConsPlusNormal"/>
        <w:ind w:firstLine="540"/>
        <w:jc w:val="both"/>
      </w:pPr>
    </w:p>
    <w:p w:rsidR="003842A7" w:rsidRDefault="003842A7">
      <w:pPr>
        <w:pStyle w:val="ConsPlusNormal"/>
        <w:ind w:firstLine="540"/>
        <w:jc w:val="both"/>
      </w:pPr>
      <w:r>
        <w:t>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а) ответственность государства за соблюдение законных интересов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признание молодежи равноправным партнером в формировании и реализации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приоритетность государственной поддержки социально незащищенных молодых граждан;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е) поддержка деятельности молодежных общественных объединений и организаций;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ж) развитие государственно-частного партнерства и взаимодействия с социальными институтами общества;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к) взаимодействие различных ведомств при реализации стратегий и программ в части, касающейся молодежной политики.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jc w:val="center"/>
        <w:outlineLvl w:val="1"/>
      </w:pPr>
      <w:r>
        <w:t>III. Цели и приоритетные задачи государственной</w:t>
      </w:r>
    </w:p>
    <w:p w:rsidR="003842A7" w:rsidRDefault="003842A7">
      <w:pPr>
        <w:pStyle w:val="ConsPlusNormal"/>
        <w:jc w:val="center"/>
      </w:pPr>
      <w:r>
        <w:t>молодежной политики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ind w:firstLine="540"/>
        <w:jc w:val="both"/>
      </w:pPr>
      <w:r>
        <w:t>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7. Для достижения целей государственной молодежной политики необходимо решить следующие приоритетные задачи: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lastRenderedPageBreak/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популяризация в молодежной среде литературного русского языка, а также культурных и национальных традиций;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популяризация людей, достигших выдающихся успехов в своей профессиональной деятельности;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повышение доступности молодежного туризма и развитие его инфраструктуры;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б) развитие просветительской работы с молодежью, инновационных образовательных </w:t>
      </w:r>
      <w:r>
        <w:lastRenderedPageBreak/>
        <w:t>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гуманитарного и правового просвещения молодежи, повышение уровня финансовой грамотности;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совершенствование системы поощрения и мотивации талантливой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совершенствование условий для инклюзивного образования молодых людей с ограниченными возможностями здоровья;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системы сертификации знаний и компетенций, полученных в том числе путем самообразования;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вовлечение молодежи в регулярные занятия физической культурой и спортом, в том числе техническими видами спорта;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вовлечение молодежи в пропаганду здорового образа жизни;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совершенствование системы студенческих соревнований и развитие студенческого спорта;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</w:t>
      </w:r>
      <w:r>
        <w:lastRenderedPageBreak/>
        <w:t>подразделения добровольной пожарной охраны;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совершенствование ежегодной диспансеризации студентов, а также организации оздоровления и санаторно-курортного отдыха;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развития профориентационной работы среди молодежи и построение эффективной траектории профессионального развития;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моделей адресной помощи молодежи, оказавшейся в трудной жизненной ситуации;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формирование системы поддержки молодежной добровольческой (волонтерской) </w:t>
      </w:r>
      <w:r>
        <w:lastRenderedPageBreak/>
        <w:t>деятельности;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воспитание в молодежной среде позитивного отношения к семье и браку;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стимулирования рождения второго и последующих детей, а также для развития семейных форм воспитания;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lastRenderedPageBreak/>
        <w:t>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jc w:val="center"/>
        <w:outlineLvl w:val="1"/>
      </w:pPr>
      <w:r>
        <w:t>IV. Механизмы реализации государственной</w:t>
      </w:r>
    </w:p>
    <w:p w:rsidR="003842A7" w:rsidRDefault="003842A7">
      <w:pPr>
        <w:pStyle w:val="ConsPlusNormal"/>
        <w:jc w:val="center"/>
      </w:pPr>
      <w:r>
        <w:t>молодежной политики</w:t>
      </w:r>
    </w:p>
    <w:p w:rsidR="003842A7" w:rsidRDefault="003842A7">
      <w:pPr>
        <w:pStyle w:val="ConsPlusNormal"/>
        <w:jc w:val="center"/>
      </w:pPr>
    </w:p>
    <w:p w:rsidR="003842A7" w:rsidRDefault="003842A7">
      <w:pPr>
        <w:pStyle w:val="ConsPlusNormal"/>
        <w:ind w:firstLine="540"/>
        <w:jc w:val="both"/>
      </w:pPr>
      <w:r>
        <w:t>8. Правовыми механизмами реализации государственной молодежной политики являются: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б) совершенствование законодательства субъектов Российской Федерации;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развитие механизмов межведомственного взаимодействия по вопросам реализации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развитие системы государственно-частного партнерства в целях вовлечения в реализацию государственной молодежной политики бизнес-сообщества, общественных объединений и граждан;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9. Организационными механизмами реализации государственной молодежной политики являются: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 xml:space="preserve">а) создание консультативных, совещательных и координационных органов по </w:t>
      </w:r>
      <w:r>
        <w:lastRenderedPageBreak/>
        <w:t>вопросам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10. Информационными механизмами реализации государственной молодежной политики являются: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11. Научно-аналитическими механизмами реализации государственной молодежной политики являются: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а) расширение практики системных научных исследований по проблемам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формирование системы общественного контроля за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12. Социальными механизмами реализации государственной молодежной политики являются: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lastRenderedPageBreak/>
        <w:t>б) развитие форм и методов социальной работы с молодежью, способствующих улучшению положения различных категорий молодежи;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3842A7" w:rsidRDefault="003842A7">
      <w:pPr>
        <w:pStyle w:val="ConsPlusNormal"/>
        <w:spacing w:before="240"/>
        <w:ind w:firstLine="540"/>
        <w:jc w:val="both"/>
      </w:pPr>
      <w:r>
        <w:t>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всех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3842A7" w:rsidRDefault="003842A7">
      <w:pPr>
        <w:pStyle w:val="ConsPlusNormal"/>
      </w:pPr>
      <w:hyperlink r:id="rId10" w:history="1">
        <w:r>
          <w:rPr>
            <w:i/>
            <w:color w:val="0000FF"/>
          </w:rPr>
          <w:br/>
          <w:t>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</w:t>
        </w:r>
      </w:hyperlink>
      <w:r>
        <w:br/>
      </w:r>
    </w:p>
    <w:p w:rsidR="00A66EA6" w:rsidRDefault="00A66EA6">
      <w:bookmarkStart w:id="1" w:name="_GoBack"/>
      <w:bookmarkEnd w:id="1"/>
    </w:p>
    <w:sectPr w:rsidR="00A66EA6" w:rsidSect="003A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A7"/>
    <w:rsid w:val="003842A7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52BA-B7AD-4AEF-A210-953D6FE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42A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EA557DF50FE532848C0A087AB8A27CF10E419DF0DDDEF7C09D8A1D9D2142CA3D0D5B8433192CFBCC3B2C2A9483530481BEF830F4IFY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0EA557DF50FE532848C0A087AB8A277F8094C93ADD7D6AECC9F8D12C236578369005A8D2C1F27B19F7F78I2Y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EA557DF50FE532848C0A087AB8A277F8094C95ADD7D6AECC9F8D12C236578369005A8D2C1F27B19F7F78I2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40EA557DF50FE532848C0A087AB8A277F8094C94ADD7D6AECC9F8D12C236578369005A8D2C1F27B19F7F78I2YFK" TargetMode="External"/><Relationship Id="rId10" Type="http://schemas.openxmlformats.org/officeDocument/2006/relationships/hyperlink" Target="consultantplus://offline/ref=FB40EA557DF50FE532848C0A087AB8A27FF70C4195A38ADCA695938F15CD69528478005A84321E27AE962B2863C0874C0C9FA1FA2EF7FF46I8YBK" TargetMode="External"/><Relationship Id="rId4" Type="http://schemas.openxmlformats.org/officeDocument/2006/relationships/hyperlink" Target="consultantplus://offline/ref=FB40EA557DF50FE532848C0A087AB8A277F80B4990ADD7D6AECC9F8D12C236578369005A8D2C1F27B19F7F78I2YFK" TargetMode="External"/><Relationship Id="rId9" Type="http://schemas.openxmlformats.org/officeDocument/2006/relationships/hyperlink" Target="consultantplus://offline/ref=FB40EA557DF50FE532848C0A087AB8A27CF80A4C9DF0DDDEF7C09D8A1D9D334292310C529A331E39AD9D7EI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31225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2018-10-19T10:24:00Z</dcterms:created>
  <dcterms:modified xsi:type="dcterms:W3CDTF">2018-10-19T10:25:00Z</dcterms:modified>
</cp:coreProperties>
</file>